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56A8E2CA" w14:textId="77777777" w:rsidR="00FE7FA4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28113255" w14:textId="77777777" w:rsidR="00FE7FA4" w:rsidRPr="00FD1F55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36C49D47" w14:textId="77777777" w:rsidR="00FE7FA4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 п</w:t>
      </w:r>
      <w:r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>
        <w:rPr>
          <w:rFonts w:ascii="Times New Roman" w:hAnsi="Times New Roman" w:cs="Times New Roman"/>
          <w:sz w:val="28"/>
          <w:szCs w:val="28"/>
        </w:rPr>
        <w:t>5 «Сколько детей Вы родили?»</w:t>
      </w:r>
      <w:r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</w:t>
      </w:r>
      <w:proofErr w:type="gramEnd"/>
      <w:r w:rsidRPr="001E21E3">
        <w:rPr>
          <w:rFonts w:ascii="Times New Roman" w:hAnsi="Times New Roman" w:cs="Times New Roman"/>
          <w:sz w:val="28"/>
          <w:szCs w:val="28"/>
        </w:rPr>
        <w:t xml:space="preserve"> состав домохозяйства родившей их женщины или проживали отдельно. Усыновленные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14:paraId="39C60F0F" w14:textId="77777777" w:rsidR="00FE7FA4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14:paraId="7E3C8F48" w14:textId="220B2A96" w:rsidR="00FE7FA4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>
        <w:rPr>
          <w:rFonts w:ascii="Times New Roman" w:hAnsi="Times New Roman" w:cs="Times New Roman"/>
          <w:sz w:val="28"/>
          <w:szCs w:val="28"/>
        </w:rPr>
        <w:t xml:space="preserve"> 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даты рождения автоматически рассчитано полное число исполнившихся лет.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3159"/>
        <w:gridCol w:w="3469"/>
      </w:tblGrid>
      <w:tr w:rsidR="00FE7FA4" w:rsidRPr="00FE7FA4" w14:paraId="1025F79A" w14:textId="77777777" w:rsidTr="00FE7F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F61" w14:textId="77777777" w:rsidR="00FE7FA4" w:rsidRPr="00FE7FA4" w:rsidRDefault="00FE7FA4" w:rsidP="00F91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E0C0" w14:textId="77777777" w:rsidR="00FE7FA4" w:rsidRPr="00FE7FA4" w:rsidRDefault="00FE7FA4" w:rsidP="00F9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10F9" w14:textId="77777777" w:rsidR="00FE7FA4" w:rsidRPr="00FE7FA4" w:rsidRDefault="00FE7FA4" w:rsidP="00F9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FE7FA4" w:rsidRPr="00FE7FA4" w14:paraId="37EBF176" w14:textId="77777777" w:rsidTr="001B4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BF1" w14:textId="77777777" w:rsidR="00FE7FA4" w:rsidRPr="00FE7FA4" w:rsidRDefault="00FE7FA4" w:rsidP="00F9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женщины трудоспособного возраста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4A7B" w14:textId="77777777" w:rsidR="00FE7FA4" w:rsidRPr="00FE7FA4" w:rsidRDefault="00FE7FA4" w:rsidP="001B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7C9" w14:textId="77777777" w:rsidR="00FE7FA4" w:rsidRPr="00FE7FA4" w:rsidRDefault="00FE7FA4" w:rsidP="001B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16-54 лет</w:t>
            </w:r>
          </w:p>
        </w:tc>
      </w:tr>
      <w:tr w:rsidR="00FE7FA4" w:rsidRPr="00FE7FA4" w14:paraId="6C7BDD5E" w14:textId="77777777" w:rsidTr="001B4E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4BB" w14:textId="77777777" w:rsidR="00FE7FA4" w:rsidRPr="00FE7FA4" w:rsidRDefault="00FE7FA4" w:rsidP="00F91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женщины старше трудоспособного возраста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41B" w14:textId="77777777" w:rsidR="00FE7FA4" w:rsidRPr="00FE7FA4" w:rsidRDefault="00FE7FA4" w:rsidP="001B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D87C" w14:textId="77777777" w:rsidR="00FE7FA4" w:rsidRPr="00FE7FA4" w:rsidRDefault="00FE7FA4" w:rsidP="001B4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4">
              <w:rPr>
                <w:rFonts w:ascii="Times New Roman" w:hAnsi="Times New Roman"/>
                <w:sz w:val="24"/>
                <w:szCs w:val="24"/>
              </w:rPr>
              <w:t>55 лет и более</w:t>
            </w:r>
          </w:p>
        </w:tc>
      </w:tr>
    </w:tbl>
    <w:p w14:paraId="66E8548F" w14:textId="77777777" w:rsidR="00FE7FA4" w:rsidRDefault="00FE7FA4" w:rsidP="00FE7FA4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таблице 2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занятых </w:t>
      </w:r>
      <w:r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Pr="00220542">
        <w:t xml:space="preserve"> </w:t>
      </w:r>
      <w:r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0E410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Состоящими в браке считаются женщины, указавшие в вопросе 4 «Ваше состояние в браке» переписного листа формы Л ответы «состою в зарегистрированном браке» или «состою в незарегистрированном супружеском союзе». Вопрос о состоянии в браке заполнялся для всех лиц в возрасте 16 лет и более, а также для тех респондентов в возрасте моложе 16 лет, которые фактически на дату переписи или ранее состояли в зарегистрированном браке или незарегистрированном супружеском союзе. </w:t>
      </w:r>
    </w:p>
    <w:p w14:paraId="0F3A2C28" w14:textId="77777777" w:rsidR="00FE7FA4" w:rsidRPr="00B27166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>более по возрастным группам и возрасту, в котором они родили первого ребенка. Данные о возрасте женщины при рождении первого ребенка получены на основе ответа на вопрос 5.1 «Год рождения первого ребенка» переписного листа формы Л.</w:t>
      </w:r>
    </w:p>
    <w:p w14:paraId="45BCB533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женщин, приведенные в таблице 5, получены на основе ответов на вопрос 15 «Ваше образование» переписного листа формы Л. В таблице 5 представлено распределение женщин по уровням образования, установленным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14:paraId="738047FB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14:paraId="1B565BF3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14:paraId="5B12452E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66F4CF9F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  <w:proofErr w:type="gramEnd"/>
    </w:p>
    <w:p w14:paraId="58CE05C4" w14:textId="77777777" w:rsidR="00FE7FA4" w:rsidRDefault="00FE7FA4" w:rsidP="00D03F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14:paraId="72C00578" w14:textId="77777777" w:rsidR="00FE7FA4" w:rsidRDefault="00FE7FA4" w:rsidP="00D03F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4B9EC18E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 среднем (полном) общем образовании;</w:t>
      </w:r>
      <w:proofErr w:type="gramEnd"/>
    </w:p>
    <w:p w14:paraId="24745342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1DAAC952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3BFA0710" w14:textId="77777777" w:rsidR="00FE7FA4" w:rsidRDefault="00FE7FA4" w:rsidP="00FE7FA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отмечался уровень образования, полученный ими до поступления в эти образовательные организации. </w:t>
      </w:r>
    </w:p>
    <w:p w14:paraId="01EDB41A" w14:textId="77777777" w:rsidR="00FE7FA4" w:rsidRDefault="00FE7FA4" w:rsidP="00FE7F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FE7FA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3A72" w14:textId="77777777" w:rsidR="00560E96" w:rsidRDefault="00560E96" w:rsidP="009B6B03">
      <w:pPr>
        <w:spacing w:after="0" w:line="240" w:lineRule="auto"/>
      </w:pPr>
      <w:r>
        <w:separator/>
      </w:r>
    </w:p>
  </w:endnote>
  <w:endnote w:type="continuationSeparator" w:id="0">
    <w:p w14:paraId="51B40868" w14:textId="77777777" w:rsidR="00560E96" w:rsidRDefault="00560E96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40E7B" w14:textId="77777777" w:rsidR="00560E96" w:rsidRDefault="00560E96" w:rsidP="009B6B03">
      <w:pPr>
        <w:spacing w:after="0" w:line="240" w:lineRule="auto"/>
      </w:pPr>
      <w:r>
        <w:separator/>
      </w:r>
    </w:p>
  </w:footnote>
  <w:footnote w:type="continuationSeparator" w:id="0">
    <w:p w14:paraId="14F2E6FF" w14:textId="77777777" w:rsidR="00560E96" w:rsidRDefault="00560E96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4C">
          <w:rPr>
            <w:noProof/>
          </w:rPr>
          <w:t>5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3496B"/>
    <w:rsid w:val="0013608D"/>
    <w:rsid w:val="00171F44"/>
    <w:rsid w:val="001909AD"/>
    <w:rsid w:val="001919BD"/>
    <w:rsid w:val="001B4EBA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60E96"/>
    <w:rsid w:val="00593FCB"/>
    <w:rsid w:val="005A0474"/>
    <w:rsid w:val="005A3FDD"/>
    <w:rsid w:val="006605A8"/>
    <w:rsid w:val="00675596"/>
    <w:rsid w:val="006A06E2"/>
    <w:rsid w:val="00761C22"/>
    <w:rsid w:val="007950C1"/>
    <w:rsid w:val="007D1891"/>
    <w:rsid w:val="008579F6"/>
    <w:rsid w:val="008F1051"/>
    <w:rsid w:val="009B6B03"/>
    <w:rsid w:val="009C3AD2"/>
    <w:rsid w:val="00A2440E"/>
    <w:rsid w:val="00A562A8"/>
    <w:rsid w:val="00A97E37"/>
    <w:rsid w:val="00B659DF"/>
    <w:rsid w:val="00BA4F3D"/>
    <w:rsid w:val="00BC55F8"/>
    <w:rsid w:val="00C819AF"/>
    <w:rsid w:val="00CA6849"/>
    <w:rsid w:val="00CC67B6"/>
    <w:rsid w:val="00D03F4C"/>
    <w:rsid w:val="00D471C4"/>
    <w:rsid w:val="00D726BA"/>
    <w:rsid w:val="00DA77AD"/>
    <w:rsid w:val="00DD1709"/>
    <w:rsid w:val="00E10611"/>
    <w:rsid w:val="00E34257"/>
    <w:rsid w:val="00E621E8"/>
    <w:rsid w:val="00E75C29"/>
    <w:rsid w:val="00EA56EE"/>
    <w:rsid w:val="00F167FC"/>
    <w:rsid w:val="00F76C3D"/>
    <w:rsid w:val="00FB4C13"/>
    <w:rsid w:val="00FB5332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19</cp:revision>
  <dcterms:created xsi:type="dcterms:W3CDTF">2023-06-01T10:05:00Z</dcterms:created>
  <dcterms:modified xsi:type="dcterms:W3CDTF">2023-06-14T11:35:00Z</dcterms:modified>
</cp:coreProperties>
</file>