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454172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</w:p>
    <w:p w14:paraId="176B3741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sz w:val="28"/>
          <w:szCs w:val="28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454172">
        <w:rPr>
          <w:rFonts w:ascii="Times New Roman" w:hAnsi="Times New Roman" w:cs="Times New Roman"/>
          <w:sz w:val="28"/>
          <w:szCs w:val="28"/>
        </w:rPr>
        <w:t xml:space="preserve">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 w14:paraId="07337815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454172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 состоянию на момент учета населения – </w:t>
      </w:r>
      <w:r w:rsidRPr="00454172">
        <w:rPr>
          <w:rFonts w:ascii="Times New Roman" w:hAnsi="Times New Roman" w:cs="Times New Roman"/>
          <w:b/>
          <w:sz w:val="28"/>
          <w:szCs w:val="28"/>
        </w:rPr>
        <w:t>0 часов 1 октября 2021 года</w:t>
      </w:r>
      <w:r w:rsidRPr="00454172">
        <w:rPr>
          <w:rFonts w:ascii="Times New Roman" w:hAnsi="Times New Roman" w:cs="Times New Roman"/>
          <w:sz w:val="28"/>
          <w:szCs w:val="28"/>
        </w:rPr>
        <w:t xml:space="preserve">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 w14:paraId="5C926B55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</w:t>
      </w:r>
      <w:r w:rsidRPr="00454172">
        <w:rPr>
          <w:rFonts w:ascii="Times New Roman" w:hAnsi="Times New Roman" w:cs="Times New Roman"/>
          <w:b/>
          <w:sz w:val="28"/>
          <w:szCs w:val="28"/>
        </w:rPr>
        <w:t>с 15 октября по 14 ноября 2021 года</w:t>
      </w:r>
      <w:r w:rsidRPr="00454172">
        <w:rPr>
          <w:rFonts w:ascii="Times New Roman" w:hAnsi="Times New Roman" w:cs="Times New Roman"/>
          <w:sz w:val="28"/>
          <w:szCs w:val="28"/>
        </w:rPr>
        <w:t xml:space="preserve"> для всей страны, кроме отдаленных и труднодоступных территорий. </w:t>
      </w:r>
    </w:p>
    <w:p w14:paraId="782C946F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6147707E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454172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0CB36985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9E3BB54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0965F35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лица, постоянно проживающие в России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73CF37FC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постоянно проживающие в России моряки российских рыболовных и торговых судов, находящиеся на дату переписи населения в плавании; </w:t>
      </w:r>
    </w:p>
    <w:p w14:paraId="6FA3C68A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и иностранные граждане и лица без гражданства, прибывшие в Россию из-за рубежа на постоянное жительство или ищущие </w:t>
      </w:r>
      <w:r w:rsidRPr="00454172">
        <w:rPr>
          <w:rFonts w:ascii="Times New Roman" w:hAnsi="Times New Roman"/>
          <w:sz w:val="28"/>
          <w:szCs w:val="28"/>
        </w:rPr>
        <w:lastRenderedPageBreak/>
        <w:t xml:space="preserve">убежище, включая и тех из них, кто не успел оформить регистрационные документы; </w:t>
      </w:r>
    </w:p>
    <w:p w14:paraId="7904900B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и иностранные граждане и лица без гражданства, прибывшие в  Россию из-за рубежа на учебу, работу или с другой целью на срок один год и более (независимо от того, сколько времени они </w:t>
      </w:r>
      <w:proofErr w:type="gramStart"/>
      <w:r w:rsidRPr="00454172">
        <w:rPr>
          <w:rFonts w:ascii="Times New Roman" w:hAnsi="Times New Roman"/>
          <w:sz w:val="28"/>
          <w:szCs w:val="28"/>
        </w:rPr>
        <w:t>пробыли в стране и сколько им осталось</w:t>
      </w:r>
      <w:proofErr w:type="gramEnd"/>
      <w:r w:rsidRPr="00454172">
        <w:rPr>
          <w:rFonts w:ascii="Times New Roman" w:hAnsi="Times New Roman"/>
          <w:sz w:val="28"/>
          <w:szCs w:val="28"/>
        </w:rPr>
        <w:t xml:space="preserve"> находиться в России). </w:t>
      </w:r>
    </w:p>
    <w:p w14:paraId="3F16F633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 учебу или работу на срок менее 1 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 w14:paraId="6EEFD44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1AF61CB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14:paraId="40474CA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Не учитывались при переписи населения: </w:t>
      </w:r>
    </w:p>
    <w:p w14:paraId="0A53E349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4F43185F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</w:t>
      </w:r>
      <w:proofErr w:type="gramStart"/>
      <w:r w:rsidRPr="00454172">
        <w:rPr>
          <w:rFonts w:ascii="Times New Roman" w:hAnsi="Times New Roman"/>
          <w:sz w:val="28"/>
          <w:szCs w:val="28"/>
        </w:rPr>
        <w:t>выехали и сколько им осталось</w:t>
      </w:r>
      <w:proofErr w:type="gramEnd"/>
      <w:r w:rsidRPr="00454172">
        <w:rPr>
          <w:rFonts w:ascii="Times New Roman" w:hAnsi="Times New Roman"/>
          <w:sz w:val="28"/>
          <w:szCs w:val="28"/>
        </w:rPr>
        <w:t xml:space="preserve"> находиться за рубежом); </w:t>
      </w:r>
    </w:p>
    <w:p w14:paraId="5C0ADED5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 w14:paraId="281387EB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иностранные граждане, работающие на территории России в представительствах международных организаций; </w:t>
      </w:r>
    </w:p>
    <w:p w14:paraId="1052037D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иностранные граждане, являющиеся членами делегаций правительств и законодательных органов своих государств. </w:t>
      </w:r>
    </w:p>
    <w:p w14:paraId="355C7FF8" w14:textId="77777777" w:rsidR="00454172" w:rsidRPr="00454172" w:rsidRDefault="00454172" w:rsidP="00454172">
      <w:pPr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Население переписано </w:t>
      </w:r>
      <w:r w:rsidRPr="00454172">
        <w:rPr>
          <w:rFonts w:ascii="Times New Roman" w:hAnsi="Times New Roman" w:cs="Times New Roman"/>
          <w:b/>
          <w:sz w:val="28"/>
          <w:szCs w:val="28"/>
        </w:rPr>
        <w:t>по месту своего постоянного (обычного) жительства</w:t>
      </w:r>
      <w:r w:rsidRPr="00454172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38A6115B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Единицей места проживания считается жилое помещение, в понятие которого входят: </w:t>
      </w:r>
    </w:p>
    <w:p w14:paraId="55F495BE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а) квартира в многоквартирном доме (включая квартиру в общежитии квартирного типа); </w:t>
      </w:r>
    </w:p>
    <w:p w14:paraId="23217104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сторожка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, коттедж или другое одноквартирное строение); </w:t>
      </w:r>
    </w:p>
    <w:p w14:paraId="54F97BD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в) комната в общежитии (</w:t>
      </w:r>
      <w:proofErr w:type="spell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неквартирного</w:t>
      </w:r>
      <w:proofErr w:type="spell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типа); </w:t>
      </w:r>
    </w:p>
    <w:p w14:paraId="0211F68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062C3F3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хозблок</w:t>
      </w:r>
      <w:proofErr w:type="spell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, баржа и т.п.); </w:t>
      </w:r>
    </w:p>
    <w:p w14:paraId="6A81D91A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и т.п.), в казармах, местах заключения, религиозных организациях. </w:t>
      </w:r>
    </w:p>
    <w:p w14:paraId="1272AD2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54697F3E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6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6"/>
          <w:sz w:val="28"/>
          <w:szCs w:val="28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E4351B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, религиозного паломничества и т.п., переписывались по месту их постоянного жительства с отметкой о временном отсутствии. </w:t>
      </w:r>
    </w:p>
    <w:p w14:paraId="27A23A9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2) Граждане России, выехавшие в длительные служебные командировки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br/>
        <w:t xml:space="preserve">(на 1 год и более) за границу по линии органов государственной власти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Российской Федерации, и находившиеся вместе с ними члены их семей, переписывались по месту их нахождения. </w:t>
      </w:r>
    </w:p>
    <w:p w14:paraId="15AF52C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0208846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 w14:paraId="1BCC158C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 w14:paraId="7F636331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 w14:paraId="22E13CA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35E06AD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14:paraId="7D70BA2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8A3A0B9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10) Постоянно проживавшие в Российской Федерации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 w14:paraId="6859B89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11) 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lastRenderedPageBreak/>
        <w:t xml:space="preserve">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550B5B7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12) Лица (независимо от их гражданства), прибывшие из зарубежных стран в 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 застала перепись. </w:t>
      </w:r>
    </w:p>
    <w:p w14:paraId="2FC09935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13) В гостиницах, больницах, домах отдыха, санаториях и т.п. переписывались только те лица, которые не имели другого места жительства. </w:t>
      </w:r>
    </w:p>
    <w:p w14:paraId="0AC249D8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5A9790C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039ADE32" w14:textId="77777777" w:rsidR="00454172" w:rsidRPr="00454172" w:rsidRDefault="00454172" w:rsidP="00454172">
      <w:pPr>
        <w:pStyle w:val="Default"/>
        <w:spacing w:line="247" w:lineRule="auto"/>
        <w:ind w:firstLine="709"/>
        <w:jc w:val="both"/>
        <w:rPr>
          <w:rFonts w:ascii="Times New Roman" w:eastAsia="Calibri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eastAsia="Calibri" w:hAnsi="Times New Roman" w:cs="Times New Roman"/>
          <w:color w:val="221E1F"/>
          <w:sz w:val="28"/>
          <w:szCs w:val="28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  <w:proofErr w:type="gramEnd"/>
    </w:p>
    <w:p w14:paraId="674ACFD8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z w:val="28"/>
          <w:szCs w:val="28"/>
        </w:rPr>
        <w:t>Программа Всероссийской переписи населения 2020 года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3C148DB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Форма и те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кст бл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7B8CEC02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дств к с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6846FCB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0659D93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pacing w:val="-2"/>
          <w:sz w:val="28"/>
          <w:szCs w:val="28"/>
        </w:rPr>
        <w:t>Метод переписи.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 w14:paraId="3FEED990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слов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91D473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6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6"/>
          <w:sz w:val="28"/>
          <w:szCs w:val="28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034139DC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z w:val="28"/>
          <w:szCs w:val="28"/>
        </w:rPr>
        <w:t>Итоги переписи.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14:paraId="7855679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Разработка итогов переписи населения проводилась только в соответствии с муниципальным делением. </w:t>
      </w:r>
    </w:p>
    <w:p w14:paraId="41A89904" w14:textId="77777777" w:rsidR="005A3FDD" w:rsidRPr="007C3FB4" w:rsidRDefault="005A3FDD" w:rsidP="005A3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4">
        <w:rPr>
          <w:rFonts w:ascii="Times New Roman" w:hAnsi="Times New Roman" w:cs="Times New Roman"/>
          <w:b/>
          <w:sz w:val="28"/>
          <w:szCs w:val="28"/>
        </w:rPr>
        <w:t>Источники сре</w:t>
      </w:r>
      <w:proofErr w:type="gramStart"/>
      <w:r w:rsidRPr="007C3FB4">
        <w:rPr>
          <w:rFonts w:ascii="Times New Roman" w:hAnsi="Times New Roman" w:cs="Times New Roman"/>
          <w:b/>
          <w:sz w:val="28"/>
          <w:szCs w:val="28"/>
        </w:rPr>
        <w:t>дств к с</w:t>
      </w:r>
      <w:proofErr w:type="gramEnd"/>
      <w:r w:rsidRPr="007C3FB4">
        <w:rPr>
          <w:rFonts w:ascii="Times New Roman" w:hAnsi="Times New Roman" w:cs="Times New Roman"/>
          <w:b/>
          <w:sz w:val="28"/>
          <w:szCs w:val="28"/>
        </w:rPr>
        <w:t>уществованию.</w:t>
      </w:r>
      <w:r w:rsidRPr="007C3FB4">
        <w:rPr>
          <w:rFonts w:ascii="Times New Roman" w:hAnsi="Times New Roman" w:cs="Times New Roman"/>
          <w:sz w:val="28"/>
          <w:szCs w:val="28"/>
        </w:rPr>
        <w:t xml:space="preserve"> Данные об источниках сре</w:t>
      </w:r>
      <w:proofErr w:type="gramStart"/>
      <w:r w:rsidRPr="007C3FB4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7C3FB4">
        <w:rPr>
          <w:rFonts w:ascii="Times New Roman" w:hAnsi="Times New Roman" w:cs="Times New Roman"/>
          <w:sz w:val="28"/>
          <w:szCs w:val="28"/>
        </w:rPr>
        <w:t>уществованию получены на основе ответов населения на вопрос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«Укажите все имеющиеся у Вас источники средств к существованию»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3FB4">
        <w:rPr>
          <w:rFonts w:ascii="Times New Roman" w:hAnsi="Times New Roman" w:cs="Times New Roman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sz w:val="28"/>
          <w:szCs w:val="28"/>
        </w:rPr>
        <w:t>содержал</w:t>
      </w:r>
      <w:r w:rsidRPr="007C3FB4">
        <w:rPr>
          <w:rFonts w:ascii="Times New Roman" w:hAnsi="Times New Roman" w:cs="Times New Roman"/>
          <w:sz w:val="28"/>
          <w:szCs w:val="28"/>
        </w:rPr>
        <w:t xml:space="preserve"> перечень </w:t>
      </w:r>
      <w:r>
        <w:rPr>
          <w:rFonts w:ascii="Times New Roman" w:hAnsi="Times New Roman" w:cs="Times New Roman"/>
          <w:sz w:val="28"/>
          <w:szCs w:val="28"/>
        </w:rPr>
        <w:t xml:space="preserve">вариантов ответов, </w:t>
      </w:r>
      <w:r>
        <w:rPr>
          <w:rFonts w:ascii="Times New Roman" w:hAnsi="Times New Roman" w:cs="Times New Roman"/>
          <w:sz w:val="28"/>
          <w:szCs w:val="28"/>
        </w:rPr>
        <w:lastRenderedPageBreak/>
        <w:t>из которых о</w:t>
      </w:r>
      <w:r w:rsidRPr="007C3FB4">
        <w:rPr>
          <w:rFonts w:ascii="Times New Roman" w:hAnsi="Times New Roman" w:cs="Times New Roman"/>
          <w:sz w:val="28"/>
          <w:szCs w:val="28"/>
        </w:rPr>
        <w:t>прашиваемые выбирали все имеющиеся у них источники средств к существованию:</w:t>
      </w:r>
    </w:p>
    <w:p w14:paraId="7C03043E" w14:textId="77777777" w:rsidR="005A3FDD" w:rsidRPr="006B1C39" w:rsidRDefault="005A3FDD" w:rsidP="005A3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C39">
        <w:rPr>
          <w:rFonts w:ascii="Times New Roman" w:hAnsi="Times New Roman" w:cs="Times New Roman"/>
          <w:i/>
          <w:sz w:val="28"/>
          <w:szCs w:val="28"/>
        </w:rPr>
        <w:t>Заработная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– отмечалась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вознаграждение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классный чин и т.п.).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>ся и в случае, если на момент переписи работающий человек находи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  <w:proofErr w:type="gramEnd"/>
    </w:p>
    <w:p w14:paraId="1AC6BDE7" w14:textId="77777777" w:rsidR="005A3FDD" w:rsidRPr="006B1C39" w:rsidRDefault="005A3FDD" w:rsidP="005A3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C39">
        <w:rPr>
          <w:rFonts w:ascii="Times New Roman" w:hAnsi="Times New Roman" w:cs="Times New Roman"/>
          <w:i/>
          <w:sz w:val="28"/>
          <w:szCs w:val="28"/>
        </w:rPr>
        <w:t xml:space="preserve">Предпринимательский доход, </w:t>
      </w:r>
      <w:proofErr w:type="spellStart"/>
      <w:r w:rsidRPr="006B1C39">
        <w:rPr>
          <w:rFonts w:ascii="Times New Roman" w:hAnsi="Times New Roman" w:cs="Times New Roman"/>
          <w:i/>
          <w:sz w:val="28"/>
          <w:szCs w:val="28"/>
        </w:rPr>
        <w:t>самозанятость</w:t>
      </w:r>
      <w:proofErr w:type="spellEnd"/>
      <w:r w:rsidRPr="006B1C39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B1C39">
        <w:rPr>
          <w:rFonts w:ascii="Times New Roman" w:hAnsi="Times New Roman" w:cs="Times New Roman"/>
          <w:sz w:val="28"/>
          <w:szCs w:val="28"/>
        </w:rPr>
        <w:t xml:space="preserve"> гранты,  денежное вознаграждение писателям, художникам, адвокатам.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 xml:space="preserve">ся  тем, кто ведет самостоятельно трудовую деятельность и зарегистрирован как индивидуальный предприниматель, а также </w:t>
      </w:r>
      <w:proofErr w:type="spellStart"/>
      <w:r w:rsidRPr="006B1C3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6B1C39">
        <w:rPr>
          <w:rFonts w:ascii="Times New Roman" w:hAnsi="Times New Roman" w:cs="Times New Roman"/>
          <w:sz w:val="28"/>
          <w:szCs w:val="28"/>
        </w:rPr>
        <w:t xml:space="preserve">, работающим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без регистрации в качестве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и без наемных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 xml:space="preserve">ся и тем, кто ведет фермерское хозяйство, а также занятым в личном подсобном хозяйстве выращиванием сельскохозяйственной продукции, животных и птицы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для продажи или обмена.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B1C39">
        <w:rPr>
          <w:rFonts w:ascii="Times New Roman" w:hAnsi="Times New Roman" w:cs="Times New Roman"/>
          <w:sz w:val="28"/>
          <w:szCs w:val="28"/>
        </w:rPr>
        <w:t>оход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>
        <w:rPr>
          <w:rFonts w:ascii="Times New Roman" w:hAnsi="Times New Roman" w:cs="Times New Roman"/>
          <w:sz w:val="28"/>
          <w:szCs w:val="28"/>
        </w:rPr>
        <w:br/>
        <w:t>к данному источнику</w:t>
      </w:r>
      <w:r w:rsidRPr="006B1C39">
        <w:rPr>
          <w:rFonts w:ascii="Times New Roman" w:hAnsi="Times New Roman" w:cs="Times New Roman"/>
          <w:sz w:val="28"/>
          <w:szCs w:val="28"/>
        </w:rPr>
        <w:t>.</w:t>
      </w:r>
    </w:p>
    <w:p w14:paraId="557018AA" w14:textId="77777777" w:rsidR="005A3FDD" w:rsidRPr="006B1C39" w:rsidRDefault="005A3FDD" w:rsidP="005A3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роизводство товаров для собственного использования – </w:t>
      </w:r>
      <w:r w:rsidRPr="006B1C39">
        <w:rPr>
          <w:rFonts w:ascii="Times New Roman" w:hAnsi="Times New Roman" w:cs="Times New Roman"/>
          <w:sz w:val="28"/>
          <w:szCs w:val="28"/>
        </w:rPr>
        <w:t>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занят в своих подсобных хозяйствах (включая дачи, сады, огороды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 xml:space="preserve"> Детям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возрасте 14 лет и более, помогающим в личном подсобном хозяйстве,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>ся этот вариант ответа.</w:t>
      </w:r>
    </w:p>
    <w:p w14:paraId="486F121E" w14:textId="77777777" w:rsidR="005A3FDD" w:rsidRPr="006B1C39" w:rsidRDefault="005A3FDD" w:rsidP="005A3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>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Дополнительная негосударственная пенсия (из негосударственного </w:t>
      </w:r>
      <w:r w:rsidRPr="006B1C39">
        <w:rPr>
          <w:rFonts w:ascii="Times New Roman" w:hAnsi="Times New Roman" w:cs="Times New Roman"/>
          <w:sz w:val="28"/>
          <w:szCs w:val="28"/>
        </w:rPr>
        <w:lastRenderedPageBreak/>
        <w:t>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6B1C39">
        <w:rPr>
          <w:rFonts w:ascii="Times New Roman" w:hAnsi="Times New Roman" w:cs="Times New Roman"/>
          <w:sz w:val="28"/>
          <w:szCs w:val="28"/>
        </w:rPr>
        <w:t>. 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14:paraId="6816D300" w14:textId="77777777" w:rsidR="005A3FDD" w:rsidRPr="006B1C39" w:rsidRDefault="005A3FDD" w:rsidP="005A3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енсия по инвалидности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14:paraId="4EA9997D" w14:textId="77777777" w:rsidR="005A3FDD" w:rsidRPr="006B1C39" w:rsidRDefault="005A3FDD" w:rsidP="005A3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особие по безработице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отмечалось 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 xml:space="preserve">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14:paraId="5B723F3A" w14:textId="77777777" w:rsidR="005A3FDD" w:rsidRDefault="005A3FDD" w:rsidP="005A3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ругие пособия и выплаты от организаций, государства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отмечались тем, кому назначены единовременные, ежемесячные пособия и другие </w:t>
      </w:r>
      <w:r w:rsidRPr="003541B1">
        <w:rPr>
          <w:rFonts w:ascii="Times New Roman" w:hAnsi="Times New Roman" w:cs="Times New Roman"/>
          <w:sz w:val="28"/>
          <w:szCs w:val="28"/>
        </w:rPr>
        <w:t xml:space="preserve">регулярные выплаты, такие как пособие на период отпуска по уходу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за ребенком (до достижения им возраста 1,5 лет); выплаты на детей от 1,5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до 3 лет; пособия и выплаты опекуну (попечителю) на содержание детей, находящихся  под опекой (попечительством);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 xml:space="preserve">единовременные региональные пособия и выплаты в связи с рождением ребенка (в том числе молодым семьям, малообеспеченным семьям  и т.п.); выплаты и пособия беременным женщинам; ежемесячные пособия детям; ежемесячные пособия женам (мужьям) военнослужащих, проходящих военную службу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 xml:space="preserve"> материнский капитал при рождении (усыновлении) второго и последующих детей; выплаты лицам (кроме пенсии и пенсии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по инвалидности), оказавшимся в зоне влияния неблагоприятных факторов, возникших вследствие катастрофы на Чернобыльской АЭС 26 апреля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1986 года, либо принимавшим участие в ликвидации последствий этой катастрофы. Этот источник отмечался воспитанникам детских домов, учащимся школ-интернатов, живущим в домах-интернатах для престарелых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и инвалидов, и т.п. лицам, находящимся на обеспечении государства. Также этот вариант ответа отмечался лицам, получающим регулярную помощь (деньгами, вещами, продуктами питания) от организаций, благотворительных фондов и т.п.  </w:t>
      </w:r>
    </w:p>
    <w:p w14:paraId="48F086B6" w14:textId="77777777" w:rsidR="005A3FDD" w:rsidRPr="003541B1" w:rsidRDefault="005A3FDD" w:rsidP="005A3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1B1">
        <w:rPr>
          <w:rFonts w:ascii="Times New Roman" w:hAnsi="Times New Roman" w:cs="Times New Roman"/>
          <w:i/>
          <w:sz w:val="28"/>
          <w:szCs w:val="28"/>
        </w:rPr>
        <w:t>Льготы, компенсации, субсидии, выигрыши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541B1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</w:t>
      </w:r>
      <w:r w:rsidRPr="003541B1">
        <w:rPr>
          <w:rFonts w:ascii="Times New Roman" w:hAnsi="Times New Roman" w:cs="Times New Roman"/>
          <w:sz w:val="28"/>
          <w:szCs w:val="28"/>
        </w:rPr>
        <w:lastRenderedPageBreak/>
        <w:t>лекарства и т.п., включая их денежные компенсации;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а также аспирантам, обучающимся с отрывом от производства;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>получающим субсидии на оплату жилого помещения и коммунальных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компенсации части родительской платы за содержание ребенка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 xml:space="preserve">имеющим льготы на питание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и пользование общественным транспортом лицам, обучающимся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541B1">
        <w:rPr>
          <w:rFonts w:ascii="Times New Roman" w:hAnsi="Times New Roman" w:cs="Times New Roman"/>
          <w:sz w:val="28"/>
          <w:szCs w:val="28"/>
        </w:rPr>
        <w:t>меющим страховые возмещения, выплачиваемые страховыми компаниями при наступлении страхового случая;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>имеющим возвращенный налог на доходы физических лиц (имущественные вычеты, на медицинские услуги, на образование);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>получившим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 xml:space="preserve"> единовременные поступления в виде выигрышей, наследства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и т.д.</w:t>
      </w:r>
    </w:p>
    <w:p w14:paraId="3EA1C7A0" w14:textId="77777777" w:rsidR="005A3FDD" w:rsidRPr="006B1C39" w:rsidRDefault="005A3FDD" w:rsidP="005A3FD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типендия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обучающимся, получающим стипендию, включая стипендии, выплачиваемые обучающимся, направленным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на обучение предприятием или организацией, службой занятости.</w:t>
      </w:r>
    </w:p>
    <w:p w14:paraId="5F741C44" w14:textId="77777777" w:rsidR="005A3FDD" w:rsidRPr="006B1C39" w:rsidRDefault="005A3FDD" w:rsidP="005A3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бережения, дивиденды, проценты, ссуды, реализация капитала </w:t>
      </w:r>
      <w:r w:rsidRPr="006B1C39">
        <w:rPr>
          <w:rFonts w:ascii="Times New Roman" w:hAnsi="Times New Roman" w:cs="Times New Roman"/>
          <w:sz w:val="28"/>
          <w:szCs w:val="28"/>
        </w:rPr>
        <w:t>– отмечались тем, для кого источником сре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>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14:paraId="046D4010" w14:textId="77777777" w:rsidR="005A3FDD" w:rsidRPr="006B1C39" w:rsidRDefault="005A3FDD" w:rsidP="005A3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дача в аренду имущества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доход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14:paraId="6E3F53BE" w14:textId="77777777" w:rsidR="005A3FDD" w:rsidRPr="006B1C39" w:rsidRDefault="005A3FDD" w:rsidP="005A3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оход от патентов, авторских прав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отмечался тем, кто имеет  вознаграждение, выплачиваемое автору или его наследникам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использование научных открытий, литературных произведений или произведений искусства.</w:t>
      </w:r>
    </w:p>
    <w:p w14:paraId="0E7C8721" w14:textId="77777777" w:rsidR="005A3FDD" w:rsidRPr="003541B1" w:rsidRDefault="005A3FDD" w:rsidP="005A3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Обеспечение со стороны других лиц, иждивение</w:t>
      </w:r>
      <w:r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 ж</w:t>
      </w:r>
      <w:r w:rsidRPr="003541B1">
        <w:rPr>
          <w:rFonts w:ascii="Times New Roman" w:hAnsi="Times New Roman" w:cs="Times New Roman"/>
          <w:sz w:val="28"/>
          <w:szCs w:val="28"/>
        </w:rPr>
        <w:t>ивущим на средства родителей, супруг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 xml:space="preserve">и), детей,  других родственников или других лиц, а также тем, на кого выплачиваются алименты. </w:t>
      </w:r>
    </w:p>
    <w:p w14:paraId="5A58AE11" w14:textId="77777777" w:rsidR="005A3FDD" w:rsidRPr="003541B1" w:rsidRDefault="005A3FDD" w:rsidP="005A3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Иной источник</w:t>
      </w:r>
      <w:r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541B1">
        <w:rPr>
          <w:rFonts w:ascii="Times New Roman" w:hAnsi="Times New Roman" w:cs="Times New Roman"/>
          <w:sz w:val="28"/>
          <w:szCs w:val="28"/>
        </w:rPr>
        <w:t>ся тем, у кого источником сре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к с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 xml:space="preserve">уществованию является что-то иное, не перечисленное выше (например, попрошайничество). </w:t>
      </w:r>
    </w:p>
    <w:p w14:paraId="00509F71" w14:textId="77777777" w:rsidR="005A3FDD" w:rsidRDefault="005A3FDD" w:rsidP="005A3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lastRenderedPageBreak/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>
        <w:rPr>
          <w:rFonts w:ascii="Times New Roman" w:hAnsi="Times New Roman" w:cs="Times New Roman"/>
          <w:sz w:val="28"/>
          <w:szCs w:val="28"/>
        </w:rPr>
        <w:t xml:space="preserve"> 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 xml:space="preserve">. На основании даты рождения автоматически рассчитано полное число исполнившихся лет. В таблицах приводятся данные по укрупненным возрастным группам: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Pr="00A72CA1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подростки до 16 лет;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72CA1">
        <w:rPr>
          <w:rFonts w:ascii="Times New Roman" w:hAnsi="Times New Roman" w:cs="Times New Roman"/>
          <w:sz w:val="28"/>
          <w:szCs w:val="28"/>
        </w:rPr>
        <w:t xml:space="preserve"> возраст – мужчины 16-</w:t>
      </w:r>
      <w:r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>
        <w:rPr>
          <w:rFonts w:ascii="Times New Roman" w:hAnsi="Times New Roman" w:cs="Times New Roman"/>
          <w:sz w:val="28"/>
          <w:szCs w:val="28"/>
        </w:rPr>
        <w:t xml:space="preserve">6,5 лет;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5A3FDD" w14:paraId="0C5DA9CD" w14:textId="77777777" w:rsidTr="00042794">
        <w:tc>
          <w:tcPr>
            <w:tcW w:w="2633" w:type="dxa"/>
          </w:tcPr>
          <w:p w14:paraId="3001550B" w14:textId="77777777" w:rsidR="005A3FDD" w:rsidRDefault="005A3FDD" w:rsidP="000427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3E285A2B" w14:textId="77777777" w:rsidR="005A3FDD" w:rsidRDefault="005A3FDD" w:rsidP="00042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2D17FD50" w14:textId="77777777" w:rsidR="005A3FDD" w:rsidRDefault="005A3FDD" w:rsidP="00042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5A3FDD" w14:paraId="53670FA1" w14:textId="77777777" w:rsidTr="00042794">
        <w:tc>
          <w:tcPr>
            <w:tcW w:w="2633" w:type="dxa"/>
          </w:tcPr>
          <w:p w14:paraId="0047D8BF" w14:textId="77777777" w:rsidR="005A3FDD" w:rsidRDefault="005A3FDD" w:rsidP="00042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14:paraId="5F52BE7F" w14:textId="77777777" w:rsidR="005A3FDD" w:rsidRDefault="005A3FDD" w:rsidP="00042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CA1">
              <w:rPr>
                <w:rFonts w:ascii="Times New Roman" w:hAnsi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14:paraId="0463074D" w14:textId="77777777" w:rsidR="005A3FDD" w:rsidRPr="00072E63" w:rsidRDefault="005A3FDD" w:rsidP="00042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E63">
              <w:rPr>
                <w:rFonts w:ascii="Times New Roman" w:hAnsi="Times New Roman"/>
                <w:sz w:val="28"/>
                <w:szCs w:val="28"/>
              </w:rPr>
              <w:t>мужчины 16-59 лет,</w:t>
            </w:r>
          </w:p>
          <w:p w14:paraId="661BCBD1" w14:textId="77777777" w:rsidR="005A3FDD" w:rsidRPr="00072E63" w:rsidRDefault="005A3FDD" w:rsidP="00042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E63">
              <w:rPr>
                <w:rFonts w:ascii="Times New Roman" w:hAnsi="Times New Roman"/>
                <w:sz w:val="28"/>
                <w:szCs w:val="28"/>
              </w:rPr>
              <w:t>женщины 16-54 лет</w:t>
            </w:r>
          </w:p>
        </w:tc>
      </w:tr>
      <w:tr w:rsidR="005A3FDD" w14:paraId="21CBD26E" w14:textId="77777777" w:rsidTr="00042794">
        <w:tc>
          <w:tcPr>
            <w:tcW w:w="2633" w:type="dxa"/>
          </w:tcPr>
          <w:p w14:paraId="33CF733F" w14:textId="77777777" w:rsidR="005A3FDD" w:rsidRDefault="005A3FDD" w:rsidP="00042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14:paraId="388516F9" w14:textId="77777777" w:rsidR="005A3FDD" w:rsidRDefault="005A3FDD" w:rsidP="00042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CA1">
              <w:rPr>
                <w:rFonts w:ascii="Times New Roman" w:hAnsi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14:paraId="64CF1530" w14:textId="77777777" w:rsidR="005A3FDD" w:rsidRPr="00072E63" w:rsidRDefault="005A3FDD" w:rsidP="00042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E63">
              <w:rPr>
                <w:rFonts w:ascii="Times New Roman" w:hAnsi="Times New Roman"/>
                <w:sz w:val="28"/>
                <w:szCs w:val="28"/>
              </w:rPr>
              <w:t>мужчины 60 лет и более,</w:t>
            </w:r>
          </w:p>
          <w:p w14:paraId="776CBE42" w14:textId="77777777" w:rsidR="005A3FDD" w:rsidRPr="00072E63" w:rsidRDefault="005A3FDD" w:rsidP="00042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E63">
              <w:rPr>
                <w:rFonts w:ascii="Times New Roman" w:hAnsi="Times New Roman"/>
                <w:sz w:val="28"/>
                <w:szCs w:val="28"/>
              </w:rPr>
              <w:t>женщины 55 лет и более</w:t>
            </w:r>
          </w:p>
        </w:tc>
      </w:tr>
    </w:tbl>
    <w:p w14:paraId="23548188" w14:textId="77777777" w:rsidR="005A3FDD" w:rsidRDefault="005A3FDD" w:rsidP="005A3FDD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1B7D878" w14:textId="7581A54A" w:rsidR="00DA77AD" w:rsidRPr="00847465" w:rsidRDefault="00DA77AD" w:rsidP="007D1891">
      <w:pPr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77AD" w:rsidRPr="00847465" w:rsidSect="009B6B03">
      <w:headerReference w:type="defaul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CCA40" w14:textId="77777777" w:rsidR="00FB5332" w:rsidRDefault="00FB5332" w:rsidP="009B6B03">
      <w:pPr>
        <w:spacing w:after="0" w:line="240" w:lineRule="auto"/>
      </w:pPr>
      <w:r>
        <w:separator/>
      </w:r>
    </w:p>
  </w:endnote>
  <w:endnote w:type="continuationSeparator" w:id="0">
    <w:p w14:paraId="5B6E2F7B" w14:textId="77777777" w:rsidR="00FB5332" w:rsidRDefault="00FB5332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9B637" w14:textId="77777777" w:rsidR="00FB5332" w:rsidRDefault="00FB5332" w:rsidP="009B6B03">
      <w:pPr>
        <w:spacing w:after="0" w:line="240" w:lineRule="auto"/>
      </w:pPr>
      <w:r>
        <w:separator/>
      </w:r>
    </w:p>
  </w:footnote>
  <w:footnote w:type="continuationSeparator" w:id="0">
    <w:p w14:paraId="7FBAEB67" w14:textId="77777777" w:rsidR="00FB5332" w:rsidRDefault="00FB5332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C29">
          <w:rPr>
            <w:noProof/>
          </w:rPr>
          <w:t>10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E10"/>
    <w:multiLevelType w:val="hybridMultilevel"/>
    <w:tmpl w:val="9CFCDB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B4223E"/>
    <w:multiLevelType w:val="hybridMultilevel"/>
    <w:tmpl w:val="A43AB9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5B71A7"/>
    <w:multiLevelType w:val="hybridMultilevel"/>
    <w:tmpl w:val="3604B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F377E3"/>
    <w:multiLevelType w:val="hybridMultilevel"/>
    <w:tmpl w:val="298EA8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2C64D8"/>
    <w:multiLevelType w:val="hybridMultilevel"/>
    <w:tmpl w:val="53EC0B2A"/>
    <w:lvl w:ilvl="0" w:tplc="E74AA7C0">
      <w:start w:val="1"/>
      <w:numFmt w:val="bullet"/>
      <w:lvlText w:val="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1" w:tplc="8D94D6E8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92F4EAF"/>
    <w:multiLevelType w:val="hybridMultilevel"/>
    <w:tmpl w:val="94BECF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037822"/>
    <w:multiLevelType w:val="hybridMultilevel"/>
    <w:tmpl w:val="FCBED0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6062A2"/>
    <w:multiLevelType w:val="hybridMultilevel"/>
    <w:tmpl w:val="7998419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F49A4"/>
    <w:rsid w:val="0013496B"/>
    <w:rsid w:val="00171F44"/>
    <w:rsid w:val="001909AD"/>
    <w:rsid w:val="001919BD"/>
    <w:rsid w:val="001B51BB"/>
    <w:rsid w:val="001D4B36"/>
    <w:rsid w:val="00200918"/>
    <w:rsid w:val="00256047"/>
    <w:rsid w:val="002722FF"/>
    <w:rsid w:val="002834CC"/>
    <w:rsid w:val="002A08D0"/>
    <w:rsid w:val="003E572D"/>
    <w:rsid w:val="00417BC5"/>
    <w:rsid w:val="00454172"/>
    <w:rsid w:val="0046108B"/>
    <w:rsid w:val="00467365"/>
    <w:rsid w:val="004B1CCC"/>
    <w:rsid w:val="00593FCB"/>
    <w:rsid w:val="005A0474"/>
    <w:rsid w:val="005A3FDD"/>
    <w:rsid w:val="00675596"/>
    <w:rsid w:val="006A06E2"/>
    <w:rsid w:val="007950C1"/>
    <w:rsid w:val="007D1891"/>
    <w:rsid w:val="008F1051"/>
    <w:rsid w:val="009B6B03"/>
    <w:rsid w:val="009C3AD2"/>
    <w:rsid w:val="00A2440E"/>
    <w:rsid w:val="00A562A8"/>
    <w:rsid w:val="00A97E37"/>
    <w:rsid w:val="00B659DF"/>
    <w:rsid w:val="00BA4F3D"/>
    <w:rsid w:val="00BC55F8"/>
    <w:rsid w:val="00C819AF"/>
    <w:rsid w:val="00CA6849"/>
    <w:rsid w:val="00CC67B6"/>
    <w:rsid w:val="00D471C4"/>
    <w:rsid w:val="00D726BA"/>
    <w:rsid w:val="00DA77AD"/>
    <w:rsid w:val="00DD1709"/>
    <w:rsid w:val="00E10611"/>
    <w:rsid w:val="00E34257"/>
    <w:rsid w:val="00E621E8"/>
    <w:rsid w:val="00E75C29"/>
    <w:rsid w:val="00EA56EE"/>
    <w:rsid w:val="00F167FC"/>
    <w:rsid w:val="00F76C3D"/>
    <w:rsid w:val="00FB4C13"/>
    <w:rsid w:val="00F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paragraph" w:styleId="2">
    <w:name w:val="Body Text 2"/>
    <w:basedOn w:val="a"/>
    <w:link w:val="20"/>
    <w:uiPriority w:val="99"/>
    <w:unhideWhenUsed/>
    <w:rsid w:val="0067559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559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5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3425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4257"/>
  </w:style>
  <w:style w:type="paragraph" w:styleId="af5">
    <w:name w:val="List Paragraph"/>
    <w:basedOn w:val="a"/>
    <w:uiPriority w:val="34"/>
    <w:qFormat/>
    <w:rsid w:val="00E34257"/>
    <w:pPr>
      <w:spacing w:after="0" w:line="216" w:lineRule="auto"/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uiPriority w:val="39"/>
    <w:rsid w:val="00E34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7D1891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paragraph" w:styleId="2">
    <w:name w:val="Body Text 2"/>
    <w:basedOn w:val="a"/>
    <w:link w:val="20"/>
    <w:uiPriority w:val="99"/>
    <w:unhideWhenUsed/>
    <w:rsid w:val="0067559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559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5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3425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4257"/>
  </w:style>
  <w:style w:type="paragraph" w:styleId="af5">
    <w:name w:val="List Paragraph"/>
    <w:basedOn w:val="a"/>
    <w:uiPriority w:val="34"/>
    <w:qFormat/>
    <w:rsid w:val="00E34257"/>
    <w:pPr>
      <w:spacing w:after="0" w:line="216" w:lineRule="auto"/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uiPriority w:val="39"/>
    <w:rsid w:val="00E34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7D1891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Булгакова Наталья Валерьевна</cp:lastModifiedBy>
  <cp:revision>13</cp:revision>
  <dcterms:created xsi:type="dcterms:W3CDTF">2023-06-01T10:05:00Z</dcterms:created>
  <dcterms:modified xsi:type="dcterms:W3CDTF">2023-06-13T05:43:00Z</dcterms:modified>
</cp:coreProperties>
</file>