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454172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</w:p>
    <w:p w14:paraId="176B3741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sz w:val="28"/>
          <w:szCs w:val="28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454172">
        <w:rPr>
          <w:rFonts w:ascii="Times New Roman" w:hAnsi="Times New Roman" w:cs="Times New Roman"/>
          <w:sz w:val="28"/>
          <w:szCs w:val="28"/>
        </w:rPr>
        <w:t xml:space="preserve">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 w14:paraId="07337815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454172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 состоянию на момент учета населения – </w:t>
      </w:r>
      <w:r w:rsidRPr="00454172">
        <w:rPr>
          <w:rFonts w:ascii="Times New Roman" w:hAnsi="Times New Roman" w:cs="Times New Roman"/>
          <w:b/>
          <w:sz w:val="28"/>
          <w:szCs w:val="28"/>
        </w:rPr>
        <w:t>0 часов 1 октября 2021 года</w:t>
      </w:r>
      <w:r w:rsidRPr="00454172">
        <w:rPr>
          <w:rFonts w:ascii="Times New Roman" w:hAnsi="Times New Roman" w:cs="Times New Roman"/>
          <w:sz w:val="28"/>
          <w:szCs w:val="28"/>
        </w:rPr>
        <w:t xml:space="preserve">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 w14:paraId="5C926B55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</w:t>
      </w:r>
      <w:r w:rsidRPr="00454172">
        <w:rPr>
          <w:rFonts w:ascii="Times New Roman" w:hAnsi="Times New Roman" w:cs="Times New Roman"/>
          <w:b/>
          <w:sz w:val="28"/>
          <w:szCs w:val="28"/>
        </w:rPr>
        <w:t>с 15 октября по 14 ноября 2021 года</w:t>
      </w:r>
      <w:r w:rsidRPr="00454172">
        <w:rPr>
          <w:rFonts w:ascii="Times New Roman" w:hAnsi="Times New Roman" w:cs="Times New Roman"/>
          <w:sz w:val="28"/>
          <w:szCs w:val="28"/>
        </w:rPr>
        <w:t xml:space="preserve"> для всей страны, кроме отдаленных и труднодоступных территорий. </w:t>
      </w:r>
    </w:p>
    <w:p w14:paraId="782C946F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6147707E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454172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0CB36985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9E3BB54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4172">
        <w:rPr>
          <w:rFonts w:ascii="Times New Roman" w:hAnsi="Times New Roman"/>
          <w:sz w:val="28"/>
          <w:szCs w:val="28"/>
        </w:rPr>
        <w:t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</w:t>
      </w:r>
      <w:proofErr w:type="gramEnd"/>
      <w:r w:rsidRPr="00454172">
        <w:rPr>
          <w:rFonts w:ascii="Times New Roman" w:hAnsi="Times New Roman"/>
          <w:sz w:val="28"/>
          <w:szCs w:val="28"/>
        </w:rPr>
        <w:t xml:space="preserve"> членов их семей); </w:t>
      </w:r>
    </w:p>
    <w:p w14:paraId="10965F35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лица, постоянно проживающие в России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73CF37FC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постоянно проживающие в России моряки российских рыболовных и торговых судов, находящиеся на дату переписи населения в плавании; </w:t>
      </w:r>
    </w:p>
    <w:p w14:paraId="6FA3C68A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и иностранные граждане и лица без гражданства, прибывшие в Россию из-за рубежа на постоянное жительство или ищущие </w:t>
      </w:r>
      <w:r w:rsidRPr="00454172">
        <w:rPr>
          <w:rFonts w:ascii="Times New Roman" w:hAnsi="Times New Roman"/>
          <w:sz w:val="28"/>
          <w:szCs w:val="28"/>
        </w:rPr>
        <w:lastRenderedPageBreak/>
        <w:t xml:space="preserve">убежище, включая и тех из них, кто не успел оформить регистрационные документы; </w:t>
      </w:r>
    </w:p>
    <w:p w14:paraId="7904900B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и иностранные граждане и лица без гражданства, прибывшие в  Россию из-за рубежа на учебу, работу или с другой целью на срок один год и более (независимо от того, сколько времени они </w:t>
      </w:r>
      <w:proofErr w:type="gramStart"/>
      <w:r w:rsidRPr="00454172">
        <w:rPr>
          <w:rFonts w:ascii="Times New Roman" w:hAnsi="Times New Roman"/>
          <w:sz w:val="28"/>
          <w:szCs w:val="28"/>
        </w:rPr>
        <w:t>пробыли в стране и сколько им осталось</w:t>
      </w:r>
      <w:proofErr w:type="gramEnd"/>
      <w:r w:rsidRPr="00454172">
        <w:rPr>
          <w:rFonts w:ascii="Times New Roman" w:hAnsi="Times New Roman"/>
          <w:sz w:val="28"/>
          <w:szCs w:val="28"/>
        </w:rPr>
        <w:t xml:space="preserve"> находиться в России). </w:t>
      </w:r>
    </w:p>
    <w:p w14:paraId="3F16F633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 учебу или работу на срок менее 1 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 w14:paraId="6EEFD44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1AF61CB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14:paraId="40474CA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Не учитывались при переписи населения: </w:t>
      </w:r>
    </w:p>
    <w:p w14:paraId="0A53E349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4F43185F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</w:t>
      </w:r>
      <w:proofErr w:type="gramStart"/>
      <w:r w:rsidRPr="00454172">
        <w:rPr>
          <w:rFonts w:ascii="Times New Roman" w:hAnsi="Times New Roman"/>
          <w:sz w:val="28"/>
          <w:szCs w:val="28"/>
        </w:rPr>
        <w:t>выехали и сколько им осталось</w:t>
      </w:r>
      <w:proofErr w:type="gramEnd"/>
      <w:r w:rsidRPr="00454172">
        <w:rPr>
          <w:rFonts w:ascii="Times New Roman" w:hAnsi="Times New Roman"/>
          <w:sz w:val="28"/>
          <w:szCs w:val="28"/>
        </w:rPr>
        <w:t xml:space="preserve"> находиться за рубежом); </w:t>
      </w:r>
    </w:p>
    <w:p w14:paraId="5C0ADED5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 w14:paraId="281387EB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иностранные граждане, работающие на территории России в представительствах международных организаций; </w:t>
      </w:r>
    </w:p>
    <w:p w14:paraId="1052037D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иностранные граждане, являющиеся членами делегаций правительств и законодательных органов своих государств. </w:t>
      </w:r>
    </w:p>
    <w:p w14:paraId="355C7FF8" w14:textId="77777777" w:rsidR="00454172" w:rsidRPr="00454172" w:rsidRDefault="00454172" w:rsidP="00454172">
      <w:pPr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Население переписано </w:t>
      </w:r>
      <w:r w:rsidRPr="00454172">
        <w:rPr>
          <w:rFonts w:ascii="Times New Roman" w:hAnsi="Times New Roman" w:cs="Times New Roman"/>
          <w:b/>
          <w:sz w:val="28"/>
          <w:szCs w:val="28"/>
        </w:rPr>
        <w:t>по месту своего постоянного (обычного) жительства</w:t>
      </w:r>
      <w:r w:rsidRPr="00454172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38A6115B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Единицей места проживания считается жилое помещение, в понятие которого входят: </w:t>
      </w:r>
    </w:p>
    <w:p w14:paraId="55F495BE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а) квартира в многоквартирном доме (включая квартиру в общежитии квартирного типа); </w:t>
      </w:r>
    </w:p>
    <w:p w14:paraId="23217104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сторожка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, коттедж или другое одноквартирное строение); </w:t>
      </w:r>
    </w:p>
    <w:p w14:paraId="54F97BD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в) комната в общежитии (</w:t>
      </w:r>
      <w:proofErr w:type="spell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неквартирного</w:t>
      </w:r>
      <w:proofErr w:type="spell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типа); </w:t>
      </w:r>
    </w:p>
    <w:p w14:paraId="0211F68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062C3F3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хозблок</w:t>
      </w:r>
      <w:proofErr w:type="spell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, баржа и т.п.); </w:t>
      </w:r>
    </w:p>
    <w:p w14:paraId="6A81D91A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и т.п.), в казармах, местах заключения, религиозных организациях. </w:t>
      </w:r>
    </w:p>
    <w:p w14:paraId="1272AD2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54697F3E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6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6"/>
          <w:sz w:val="28"/>
          <w:szCs w:val="28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E4351B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, религиозного паломничества и т.п., переписывались по месту их постоянного жительства с отметкой о временном отсутствии. </w:t>
      </w:r>
    </w:p>
    <w:p w14:paraId="27A23A9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2) Граждане России, выехавшие в длительные служебные командировки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br/>
        <w:t xml:space="preserve">(на 1 год и более) за границу по линии органов государственной власти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Российской Федерации, и находившиеся вместе с ними члены их семей, переписывались по месту их нахождения. </w:t>
      </w:r>
    </w:p>
    <w:p w14:paraId="15AF52C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0208846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 w14:paraId="1BCC158C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 w14:paraId="7F636331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 w14:paraId="22E13CA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35E06AD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14:paraId="7D70BA2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8A3A0B9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10) Постоянно проживавшие в Российской Федерации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 w14:paraId="6859B89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11) 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lastRenderedPageBreak/>
        <w:t xml:space="preserve">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550B5B7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12) Лица (независимо от их гражданства), прибывшие из зарубежных стран в 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 застала перепись. </w:t>
      </w:r>
    </w:p>
    <w:p w14:paraId="2FC09935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13) В гостиницах, больницах, домах отдыха, санаториях и т.п. переписывались только те лица, которые не имели другого места жительства. </w:t>
      </w:r>
    </w:p>
    <w:p w14:paraId="0AC249D8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5A9790C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039ADE32" w14:textId="77777777" w:rsidR="00454172" w:rsidRPr="00454172" w:rsidRDefault="00454172" w:rsidP="00454172">
      <w:pPr>
        <w:pStyle w:val="Default"/>
        <w:spacing w:line="247" w:lineRule="auto"/>
        <w:ind w:firstLine="709"/>
        <w:jc w:val="both"/>
        <w:rPr>
          <w:rFonts w:ascii="Times New Roman" w:eastAsia="Calibri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eastAsia="Calibri" w:hAnsi="Times New Roman" w:cs="Times New Roman"/>
          <w:color w:val="221E1F"/>
          <w:sz w:val="28"/>
          <w:szCs w:val="28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  <w:proofErr w:type="gramEnd"/>
    </w:p>
    <w:p w14:paraId="674ACFD8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z w:val="28"/>
          <w:szCs w:val="28"/>
        </w:rPr>
        <w:t>Программа Всероссийской переписи населения 2020 года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3C148DB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Форма и те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кст бл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7B8CEC02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дств к с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6846FCB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0659D93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pacing w:val="-2"/>
          <w:sz w:val="28"/>
          <w:szCs w:val="28"/>
        </w:rPr>
        <w:t>Метод переписи.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 w14:paraId="3FEED990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слов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91D473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6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6"/>
          <w:sz w:val="28"/>
          <w:szCs w:val="28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034139DC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z w:val="28"/>
          <w:szCs w:val="28"/>
        </w:rPr>
        <w:t>Итоги переписи.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14:paraId="7855679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Разработка итогов переписи населения проводилась только в соответствии с муниципальным делением. </w:t>
      </w:r>
    </w:p>
    <w:p w14:paraId="7F73EE4F" w14:textId="77777777" w:rsidR="00454172" w:rsidRPr="00454172" w:rsidRDefault="00454172" w:rsidP="00454172">
      <w:pPr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z w:val="28"/>
          <w:szCs w:val="28"/>
        </w:rPr>
        <w:t>Городское и сельское население.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Городскими населенными пунктами считаются населенные пункты,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>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поселения могут входить как городские, так и сельские населенные пункты.</w:t>
      </w:r>
    </w:p>
    <w:p w14:paraId="1D8A578B" w14:textId="77777777" w:rsidR="00454172" w:rsidRPr="00454172" w:rsidRDefault="00454172" w:rsidP="00454172">
      <w:pPr>
        <w:pStyle w:val="2"/>
        <w:spacing w:after="0" w:line="247" w:lineRule="auto"/>
        <w:jc w:val="center"/>
        <w:rPr>
          <w:rFonts w:ascii="Times New Roman" w:eastAsia="Times New Roman" w:hAnsi="Times New Roman"/>
          <w:b/>
          <w:i/>
          <w:color w:val="222A35" w:themeColor="text2" w:themeShade="80"/>
          <w:sz w:val="28"/>
          <w:szCs w:val="28"/>
          <w:lang w:eastAsia="ru-RU"/>
        </w:rPr>
      </w:pPr>
    </w:p>
    <w:p w14:paraId="5F4D394D" w14:textId="77777777" w:rsidR="00454172" w:rsidRPr="00454172" w:rsidRDefault="00454172" w:rsidP="00454172">
      <w:pPr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b/>
          <w:sz w:val="28"/>
          <w:szCs w:val="28"/>
        </w:rPr>
        <w:t xml:space="preserve">Данные о возрасте </w:t>
      </w:r>
      <w:r w:rsidRPr="00454172">
        <w:rPr>
          <w:rFonts w:ascii="Times New Roman" w:hAnsi="Times New Roman" w:cs="Times New Roman"/>
          <w:sz w:val="28"/>
          <w:szCs w:val="28"/>
        </w:rPr>
        <w:t>получены на основе ответов на вопрос переписных листов о дате рождения. На основании даты рождения рассчитано полное число исполнившихся лет. Вопрос о дате рождения был обязательным для заполнения всеми респондентами, поэтому в таблицах отсутствует группа «Возраст не указан».</w:t>
      </w:r>
    </w:p>
    <w:p w14:paraId="309C1597" w14:textId="77777777" w:rsidR="00454172" w:rsidRPr="00454172" w:rsidRDefault="00454172" w:rsidP="00454172">
      <w:pPr>
        <w:pStyle w:val="af3"/>
        <w:spacing w:line="247" w:lineRule="auto"/>
        <w:rPr>
          <w:rFonts w:ascii="Times New Roman" w:hAnsi="Times New Roman" w:cs="Times New Roman"/>
          <w:bCs/>
          <w:sz w:val="28"/>
          <w:szCs w:val="28"/>
        </w:rPr>
      </w:pPr>
      <w:r w:rsidRPr="00454172"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интервалы в численности населения </w:t>
      </w:r>
      <w:r w:rsidRPr="00454172">
        <w:rPr>
          <w:rFonts w:ascii="Times New Roman" w:hAnsi="Times New Roman" w:cs="Times New Roman"/>
          <w:bCs/>
          <w:sz w:val="28"/>
          <w:szCs w:val="28"/>
        </w:rPr>
        <w:t>включают значения точного возраста, входящего в данный интервал. Например, «20-24» обозначает пятилетний возрастной интервал от 20 до 24 лет включительно, т.е. интервал от точного возраста 20 до точного возраста 25 лет.</w:t>
      </w:r>
    </w:p>
    <w:p w14:paraId="6EF51ACB" w14:textId="77777777" w:rsidR="00454172" w:rsidRPr="00454172" w:rsidRDefault="00454172" w:rsidP="00454172">
      <w:pPr>
        <w:pStyle w:val="af3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К лицам в возрасте </w:t>
      </w:r>
      <w:r w:rsidRPr="00454172">
        <w:rPr>
          <w:rFonts w:ascii="Times New Roman" w:hAnsi="Times New Roman" w:cs="Times New Roman"/>
          <w:b/>
          <w:sz w:val="28"/>
          <w:szCs w:val="28"/>
        </w:rPr>
        <w:t>моложе трудоспособного</w:t>
      </w:r>
      <w:r w:rsidRPr="00454172">
        <w:rPr>
          <w:rFonts w:ascii="Times New Roman" w:hAnsi="Times New Roman" w:cs="Times New Roman"/>
          <w:sz w:val="28"/>
          <w:szCs w:val="28"/>
        </w:rPr>
        <w:t xml:space="preserve"> относятся мужчины и женщины в возрасте от 0 до 15 лет.</w:t>
      </w:r>
    </w:p>
    <w:p w14:paraId="4C11CEE3" w14:textId="77777777" w:rsidR="00454172" w:rsidRPr="00454172" w:rsidRDefault="00454172" w:rsidP="00454172">
      <w:pPr>
        <w:pStyle w:val="af3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К лицам </w:t>
      </w:r>
      <w:r w:rsidRPr="00454172">
        <w:rPr>
          <w:rFonts w:ascii="Times New Roman" w:hAnsi="Times New Roman" w:cs="Times New Roman"/>
          <w:b/>
          <w:sz w:val="28"/>
          <w:szCs w:val="28"/>
        </w:rPr>
        <w:t>трудоспособного возраста</w:t>
      </w:r>
      <w:r w:rsidRPr="00454172">
        <w:rPr>
          <w:rFonts w:ascii="Times New Roman" w:hAnsi="Times New Roman" w:cs="Times New Roman"/>
          <w:sz w:val="28"/>
          <w:szCs w:val="28"/>
        </w:rPr>
        <w:t xml:space="preserve"> относятся мужчины в возрасте от 16 до 61,5 лет и женщины от 16 до 56,5 лет.</w:t>
      </w:r>
    </w:p>
    <w:p w14:paraId="623ABF17" w14:textId="77777777" w:rsidR="00454172" w:rsidRPr="00454172" w:rsidRDefault="00454172" w:rsidP="00454172">
      <w:pPr>
        <w:pStyle w:val="af3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К лицам </w:t>
      </w:r>
      <w:r w:rsidRPr="00454172">
        <w:rPr>
          <w:rFonts w:ascii="Times New Roman" w:hAnsi="Times New Roman" w:cs="Times New Roman"/>
          <w:b/>
          <w:sz w:val="28"/>
          <w:szCs w:val="28"/>
        </w:rPr>
        <w:t>старше трудоспособного</w:t>
      </w:r>
      <w:r w:rsidRPr="00454172">
        <w:rPr>
          <w:rFonts w:ascii="Times New Roman" w:hAnsi="Times New Roman" w:cs="Times New Roman"/>
          <w:sz w:val="28"/>
          <w:szCs w:val="28"/>
        </w:rPr>
        <w:t xml:space="preserve"> возраста относятся мужчины в возрасте 61,5 лет и старше, женщины – 56,5 лет и старше.</w:t>
      </w:r>
    </w:p>
    <w:p w14:paraId="02C1D364" w14:textId="77777777" w:rsidR="00454172" w:rsidRPr="00454172" w:rsidRDefault="00454172" w:rsidP="00454172">
      <w:pPr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По сравнению с предыдущей Всероссийской переписью населения 2010 года изменились законодательно установленные  границы возраста, 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 верхняя граница трудоспособного возраста составляла соответственно для мужчин 61,5 лет и для женщин 56,5 лет. Таким образом, на дату переписи используются следующие возрастные интервалы: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454172" w:rsidRPr="00454172" w14:paraId="055999A8" w14:textId="77777777" w:rsidTr="003447DC">
        <w:tc>
          <w:tcPr>
            <w:tcW w:w="2633" w:type="dxa"/>
          </w:tcPr>
          <w:p w14:paraId="3D66CE53" w14:textId="77777777" w:rsidR="00454172" w:rsidRPr="00454172" w:rsidRDefault="00454172" w:rsidP="003447DC">
            <w:pPr>
              <w:spacing w:line="247" w:lineRule="auto"/>
              <w:jc w:val="both"/>
              <w:rPr>
                <w:rFonts w:ascii="Times New Roman" w:hAnsi="Times New Roman"/>
                <w:color w:val="221E1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69" w:type="dxa"/>
          </w:tcPr>
          <w:p w14:paraId="2C062084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 xml:space="preserve">Всероссийская перепись </w:t>
            </w:r>
          </w:p>
          <w:p w14:paraId="021A440B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населения 2020 года</w:t>
            </w:r>
          </w:p>
        </w:tc>
        <w:tc>
          <w:tcPr>
            <w:tcW w:w="3469" w:type="dxa"/>
          </w:tcPr>
          <w:p w14:paraId="44B1168A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Всероссийская перепись</w:t>
            </w:r>
          </w:p>
          <w:p w14:paraId="58BA7CFB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населения 2010 года</w:t>
            </w:r>
          </w:p>
        </w:tc>
      </w:tr>
      <w:tr w:rsidR="00454172" w:rsidRPr="00454172" w14:paraId="6F34C5AC" w14:textId="77777777" w:rsidTr="003447DC">
        <w:tc>
          <w:tcPr>
            <w:tcW w:w="2633" w:type="dxa"/>
          </w:tcPr>
          <w:p w14:paraId="596867CB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 xml:space="preserve">население </w:t>
            </w:r>
          </w:p>
          <w:p w14:paraId="1562C591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  <w:vAlign w:val="center"/>
          </w:tcPr>
          <w:p w14:paraId="094217F5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мужчины 16-61,5 лет,</w:t>
            </w:r>
          </w:p>
          <w:p w14:paraId="479DC208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женщины 16-56,5 лет</w:t>
            </w:r>
          </w:p>
        </w:tc>
        <w:tc>
          <w:tcPr>
            <w:tcW w:w="3469" w:type="dxa"/>
            <w:vAlign w:val="center"/>
          </w:tcPr>
          <w:p w14:paraId="0A29974F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мужчины 16-59 лет,</w:t>
            </w:r>
          </w:p>
          <w:p w14:paraId="789E6279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женщины 16-54 лет</w:t>
            </w:r>
          </w:p>
        </w:tc>
      </w:tr>
      <w:tr w:rsidR="00454172" w:rsidRPr="00454172" w14:paraId="538932C3" w14:textId="77777777" w:rsidTr="003447DC">
        <w:tc>
          <w:tcPr>
            <w:tcW w:w="2633" w:type="dxa"/>
          </w:tcPr>
          <w:p w14:paraId="5690524A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  <w:vAlign w:val="center"/>
          </w:tcPr>
          <w:p w14:paraId="79B1D5FE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  <w:vAlign w:val="center"/>
          </w:tcPr>
          <w:p w14:paraId="366B6DCE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мужчины 60 лет и более,</w:t>
            </w:r>
          </w:p>
          <w:p w14:paraId="52604D7A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женщины 55 лет и более</w:t>
            </w:r>
          </w:p>
        </w:tc>
      </w:tr>
    </w:tbl>
    <w:p w14:paraId="516D3CD4" w14:textId="77777777" w:rsidR="00454172" w:rsidRPr="00454172" w:rsidRDefault="00454172" w:rsidP="00454172">
      <w:pPr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B7D878" w14:textId="77777777" w:rsidR="00DA77AD" w:rsidRPr="00847465" w:rsidRDefault="00DA77AD" w:rsidP="00DA77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Pr="001E21E3">
        <w:rPr>
          <w:rFonts w:ascii="Times New Roman" w:hAnsi="Times New Roman" w:cs="Times New Roman"/>
          <w:b/>
          <w:sz w:val="28"/>
          <w:szCs w:val="28"/>
        </w:rPr>
        <w:t>ражданств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47465">
        <w:rPr>
          <w:rFonts w:ascii="Times New Roman" w:hAnsi="Times New Roman" w:cs="Times New Roman"/>
          <w:sz w:val="28"/>
          <w:szCs w:val="28"/>
        </w:rPr>
        <w:t xml:space="preserve">. Данные о распределении населения по гражданству </w:t>
      </w:r>
      <w:proofErr w:type="gramStart"/>
      <w:r w:rsidRPr="00847465">
        <w:rPr>
          <w:rFonts w:ascii="Times New Roman" w:hAnsi="Times New Roman" w:cs="Times New Roman"/>
          <w:sz w:val="28"/>
          <w:szCs w:val="28"/>
        </w:rPr>
        <w:t xml:space="preserve">получены на основе ответов на вопрос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47465">
        <w:rPr>
          <w:rFonts w:ascii="Times New Roman" w:hAnsi="Times New Roman" w:cs="Times New Roman"/>
          <w:sz w:val="28"/>
          <w:szCs w:val="28"/>
        </w:rPr>
        <w:t xml:space="preserve"> переписного листа формы Л. Гражданство детей в возрасте до 14 лет определяли</w:t>
      </w:r>
      <w:proofErr w:type="gramEnd"/>
      <w:r w:rsidRPr="0084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родители. Если респондент имел помимо</w:t>
      </w:r>
      <w:r w:rsidRPr="00847465">
        <w:rPr>
          <w:rFonts w:ascii="Times New Roman" w:hAnsi="Times New Roman" w:cs="Times New Roman"/>
          <w:sz w:val="28"/>
          <w:szCs w:val="28"/>
        </w:rPr>
        <w:t xml:space="preserve"> гражданств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7465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гражданство </w:t>
      </w:r>
      <w:r w:rsidRPr="00847465">
        <w:rPr>
          <w:rFonts w:ascii="Times New Roman" w:hAnsi="Times New Roman" w:cs="Times New Roman"/>
          <w:sz w:val="28"/>
          <w:szCs w:val="28"/>
        </w:rPr>
        <w:t>другого государства, то учитывались оба гражданства. Для тех, кто имел два гражданства иностранных государств, при переписи учитывалось только одно из них на выбор опрашиваемого.</w:t>
      </w:r>
    </w:p>
    <w:sectPr w:rsidR="00DA77AD" w:rsidRPr="00847465" w:rsidSect="009B6B03">
      <w:headerReference w:type="defaul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E9EF" w14:textId="77777777" w:rsidR="005A0474" w:rsidRDefault="005A0474" w:rsidP="009B6B03">
      <w:pPr>
        <w:spacing w:after="0" w:line="240" w:lineRule="auto"/>
      </w:pPr>
      <w:r>
        <w:separator/>
      </w:r>
    </w:p>
  </w:endnote>
  <w:endnote w:type="continuationSeparator" w:id="0">
    <w:p w14:paraId="0EAC45D2" w14:textId="77777777" w:rsidR="005A0474" w:rsidRDefault="005A0474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CD1CA" w14:textId="77777777" w:rsidR="005A0474" w:rsidRDefault="005A0474" w:rsidP="009B6B03">
      <w:pPr>
        <w:spacing w:after="0" w:line="240" w:lineRule="auto"/>
      </w:pPr>
      <w:r>
        <w:separator/>
      </w:r>
    </w:p>
  </w:footnote>
  <w:footnote w:type="continuationSeparator" w:id="0">
    <w:p w14:paraId="41886FBB" w14:textId="77777777" w:rsidR="005A0474" w:rsidRDefault="005A0474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7AD">
          <w:rPr>
            <w:noProof/>
          </w:rPr>
          <w:t>6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E10"/>
    <w:multiLevelType w:val="hybridMultilevel"/>
    <w:tmpl w:val="9CFCDB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B4223E"/>
    <w:multiLevelType w:val="hybridMultilevel"/>
    <w:tmpl w:val="A43AB9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5B71A7"/>
    <w:multiLevelType w:val="hybridMultilevel"/>
    <w:tmpl w:val="3604B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F377E3"/>
    <w:multiLevelType w:val="hybridMultilevel"/>
    <w:tmpl w:val="298EA8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2C64D8"/>
    <w:multiLevelType w:val="hybridMultilevel"/>
    <w:tmpl w:val="53EC0B2A"/>
    <w:lvl w:ilvl="0" w:tplc="E74AA7C0">
      <w:start w:val="1"/>
      <w:numFmt w:val="bullet"/>
      <w:lvlText w:val="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1" w:tplc="8D94D6E8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92F4EAF"/>
    <w:multiLevelType w:val="hybridMultilevel"/>
    <w:tmpl w:val="94BECF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037822"/>
    <w:multiLevelType w:val="hybridMultilevel"/>
    <w:tmpl w:val="FCBED0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6062A2"/>
    <w:multiLevelType w:val="hybridMultilevel"/>
    <w:tmpl w:val="7998419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F49A4"/>
    <w:rsid w:val="00171F44"/>
    <w:rsid w:val="001909AD"/>
    <w:rsid w:val="001919BD"/>
    <w:rsid w:val="001B51BB"/>
    <w:rsid w:val="001D4B36"/>
    <w:rsid w:val="00200918"/>
    <w:rsid w:val="00256047"/>
    <w:rsid w:val="002722FF"/>
    <w:rsid w:val="002834CC"/>
    <w:rsid w:val="002A08D0"/>
    <w:rsid w:val="003E572D"/>
    <w:rsid w:val="00454172"/>
    <w:rsid w:val="0046108B"/>
    <w:rsid w:val="00467365"/>
    <w:rsid w:val="004B1CCC"/>
    <w:rsid w:val="00593FCB"/>
    <w:rsid w:val="005A0474"/>
    <w:rsid w:val="00675596"/>
    <w:rsid w:val="006A06E2"/>
    <w:rsid w:val="007950C1"/>
    <w:rsid w:val="008F1051"/>
    <w:rsid w:val="009B6B03"/>
    <w:rsid w:val="009C3AD2"/>
    <w:rsid w:val="00A2440E"/>
    <w:rsid w:val="00A562A8"/>
    <w:rsid w:val="00A97E37"/>
    <w:rsid w:val="00B659DF"/>
    <w:rsid w:val="00BA4F3D"/>
    <w:rsid w:val="00BC55F8"/>
    <w:rsid w:val="00C819AF"/>
    <w:rsid w:val="00CA6849"/>
    <w:rsid w:val="00D471C4"/>
    <w:rsid w:val="00D726BA"/>
    <w:rsid w:val="00DA77AD"/>
    <w:rsid w:val="00DD1709"/>
    <w:rsid w:val="00E10611"/>
    <w:rsid w:val="00E34257"/>
    <w:rsid w:val="00E621E8"/>
    <w:rsid w:val="00EA56EE"/>
    <w:rsid w:val="00F167FC"/>
    <w:rsid w:val="00F76C3D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paragraph" w:styleId="2">
    <w:name w:val="Body Text 2"/>
    <w:basedOn w:val="a"/>
    <w:link w:val="20"/>
    <w:uiPriority w:val="99"/>
    <w:unhideWhenUsed/>
    <w:rsid w:val="0067559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559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5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3425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4257"/>
  </w:style>
  <w:style w:type="paragraph" w:styleId="af5">
    <w:name w:val="List Paragraph"/>
    <w:basedOn w:val="a"/>
    <w:uiPriority w:val="34"/>
    <w:qFormat/>
    <w:rsid w:val="00E34257"/>
    <w:pPr>
      <w:spacing w:after="0" w:line="216" w:lineRule="auto"/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uiPriority w:val="39"/>
    <w:rsid w:val="00E34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paragraph" w:styleId="2">
    <w:name w:val="Body Text 2"/>
    <w:basedOn w:val="a"/>
    <w:link w:val="20"/>
    <w:uiPriority w:val="99"/>
    <w:unhideWhenUsed/>
    <w:rsid w:val="0067559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559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5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3425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4257"/>
  </w:style>
  <w:style w:type="paragraph" w:styleId="af5">
    <w:name w:val="List Paragraph"/>
    <w:basedOn w:val="a"/>
    <w:uiPriority w:val="34"/>
    <w:qFormat/>
    <w:rsid w:val="00E34257"/>
    <w:pPr>
      <w:spacing w:after="0" w:line="216" w:lineRule="auto"/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uiPriority w:val="39"/>
    <w:rsid w:val="00E34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Булгакова Наталья Валерьевна</cp:lastModifiedBy>
  <cp:revision>9</cp:revision>
  <dcterms:created xsi:type="dcterms:W3CDTF">2023-06-01T10:05:00Z</dcterms:created>
  <dcterms:modified xsi:type="dcterms:W3CDTF">2023-06-07T10:23:00Z</dcterms:modified>
</cp:coreProperties>
</file>